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710"/>
        <w:gridCol w:w="8370"/>
      </w:tblGrid>
      <w:tr w:rsidR="005D240C" w14:paraId="7DB31BA6" w14:textId="77777777" w:rsidTr="009E354F">
        <w:trPr>
          <w:tblHeader/>
        </w:trPr>
        <w:tc>
          <w:tcPr>
            <w:tcW w:w="1440" w:type="dxa"/>
          </w:tcPr>
          <w:p w14:paraId="5B3101E4" w14:textId="77777777" w:rsidR="005D240C" w:rsidRDefault="007A3F2E">
            <w:r>
              <w:rPr>
                <w:noProof/>
                <w:lang w:eastAsia="en-US"/>
              </w:rPr>
              <w:drawing>
                <wp:inline distT="0" distB="0" distL="0" distR="0" wp14:anchorId="43EA8913" wp14:editId="1A11DA83">
                  <wp:extent cx="1085850" cy="128693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869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0" w:type="dxa"/>
          </w:tcPr>
          <w:p w14:paraId="02226CC3" w14:textId="2EC786FE" w:rsidR="005D240C" w:rsidRDefault="00C12921" w:rsidP="00D604F1">
            <w:pPr>
              <w:pStyle w:val="Title"/>
              <w:jc w:val="center"/>
            </w:pPr>
            <w:r>
              <w:t>Rules Change History</w:t>
            </w:r>
          </w:p>
        </w:tc>
      </w:tr>
    </w:tbl>
    <w:p w14:paraId="0C3120EF" w14:textId="606FDE13" w:rsidR="00835E9B" w:rsidRDefault="002F3528" w:rsidP="00C12921">
      <w:pPr>
        <w:pStyle w:val="Heading1"/>
      </w:pPr>
      <w:r>
        <w:t>2008</w:t>
      </w:r>
    </w:p>
    <w:p w14:paraId="63759793" w14:textId="77777777" w:rsidR="002F3528" w:rsidRDefault="002F3528" w:rsidP="002F3528">
      <w:r w:rsidRPr="002F3528">
        <w:t xml:space="preserve">Clarified rules for player formation in a shorthanded game.   Specifically, a “seven vs seven” </w:t>
      </w:r>
      <w:proofErr w:type="gramStart"/>
      <w:r w:rsidRPr="002F3528">
        <w:t>situation  -</w:t>
      </w:r>
      <w:proofErr w:type="gramEnd"/>
      <w:r w:rsidRPr="002F3528">
        <w:t xml:space="preserve">  pages 7 and 32. </w:t>
      </w:r>
    </w:p>
    <w:p w14:paraId="364C78CE" w14:textId="77777777" w:rsidR="002F3528" w:rsidRDefault="002F3528" w:rsidP="002F3528"/>
    <w:p w14:paraId="1728A0F1" w14:textId="77777777" w:rsidR="002F3528" w:rsidRDefault="002F3528" w:rsidP="002F3528">
      <w:r w:rsidRPr="002F3528">
        <w:t xml:space="preserve">Added Paragraph 2.10 with language to address “spot of the foul” placement of the ball after a penalty on the </w:t>
      </w:r>
      <w:proofErr w:type="gramStart"/>
      <w:r w:rsidRPr="002F3528">
        <w:t>offense  -</w:t>
      </w:r>
      <w:proofErr w:type="gramEnd"/>
      <w:r w:rsidRPr="002F3528">
        <w:t xml:space="preserve">  page 20. </w:t>
      </w:r>
    </w:p>
    <w:p w14:paraId="4BE8DC45" w14:textId="77777777" w:rsidR="002F3528" w:rsidRDefault="002F3528" w:rsidP="002F3528"/>
    <w:p w14:paraId="0BF42258" w14:textId="77777777" w:rsidR="002F3528" w:rsidRDefault="002F3528" w:rsidP="002F3528">
      <w:r w:rsidRPr="002F3528">
        <w:t xml:space="preserve">Clarified rules on encroachment – specifically, when defense jumps into the neutral zone and pulls the offense out of their stance, the penalty is against the </w:t>
      </w:r>
      <w:proofErr w:type="gramStart"/>
      <w:r w:rsidRPr="002F3528">
        <w:t>defense  -</w:t>
      </w:r>
      <w:proofErr w:type="gramEnd"/>
      <w:r w:rsidRPr="002F3528">
        <w:t xml:space="preserve">  pages 24 and 27. </w:t>
      </w:r>
    </w:p>
    <w:p w14:paraId="4AC91B86" w14:textId="77777777" w:rsidR="002F3528" w:rsidRDefault="002F3528" w:rsidP="002F3528">
      <w:r w:rsidRPr="002F3528">
        <w:t xml:space="preserve">Allowing kicks to be returned out of the end zone for bantams, juniors, and seniors – this is a change from previous years – pages 28, 29, 30, and 31. </w:t>
      </w:r>
    </w:p>
    <w:p w14:paraId="2EB94F11" w14:textId="77777777" w:rsidR="002F3528" w:rsidRDefault="002F3528" w:rsidP="002F3528"/>
    <w:p w14:paraId="357CFD44" w14:textId="2031BA00" w:rsidR="002F3528" w:rsidRDefault="002F3528" w:rsidP="002F3528">
      <w:r w:rsidRPr="002F3528">
        <w:t>Simplified overtime rules for Bowl Games – they are the same as regular season games – page 33.</w:t>
      </w:r>
    </w:p>
    <w:p w14:paraId="7D35CC87" w14:textId="77777777" w:rsidR="002F3528" w:rsidRDefault="002F3528" w:rsidP="002F3528"/>
    <w:p w14:paraId="2A6FBC50" w14:textId="500DD312" w:rsidR="002F3528" w:rsidRDefault="002F3528" w:rsidP="002F3528">
      <w:pPr>
        <w:pStyle w:val="Heading1"/>
      </w:pPr>
      <w:r>
        <w:t>2009</w:t>
      </w:r>
    </w:p>
    <w:p w14:paraId="3BA0BC9C" w14:textId="760DE4B4" w:rsidR="002F3528" w:rsidRDefault="002F3528" w:rsidP="002F3528">
      <w:r>
        <w:t>No Changes</w:t>
      </w:r>
    </w:p>
    <w:p w14:paraId="747F41B0" w14:textId="77777777" w:rsidR="002F3528" w:rsidRDefault="002F3528" w:rsidP="002F3528"/>
    <w:p w14:paraId="11156373" w14:textId="7829F1E1" w:rsidR="002F3528" w:rsidRDefault="002F3528" w:rsidP="002F3528">
      <w:pPr>
        <w:pStyle w:val="Heading1"/>
      </w:pPr>
      <w:r>
        <w:t>2010</w:t>
      </w:r>
    </w:p>
    <w:p w14:paraId="1518E7F6" w14:textId="77777777" w:rsidR="002F3528" w:rsidRDefault="002F3528" w:rsidP="002F3528">
      <w:r w:rsidRPr="002F3528">
        <w:t xml:space="preserve">Paragraph 2.6 (Blocking) – page 17 – eliminated references to a “free blocking zone” and simplified the rules on blocking in the </w:t>
      </w:r>
      <w:proofErr w:type="gramStart"/>
      <w:r w:rsidRPr="002F3528">
        <w:t>back  -</w:t>
      </w:r>
      <w:proofErr w:type="gramEnd"/>
      <w:r w:rsidRPr="002F3528">
        <w:t xml:space="preserve">  basically, blocking in the back is not allowed regardless of whether the direction of the play has been established or not.</w:t>
      </w:r>
    </w:p>
    <w:p w14:paraId="6D014ADF" w14:textId="77777777" w:rsidR="002F3528" w:rsidRDefault="002F3528" w:rsidP="002F3528"/>
    <w:p w14:paraId="06A22095" w14:textId="25FCC43E" w:rsidR="002F3528" w:rsidRPr="002F3528" w:rsidRDefault="002F3528" w:rsidP="002F3528">
      <w:r w:rsidRPr="002F3528">
        <w:t>Paragraph 5.3 (Overtime) – page 33 - changed to “one possession only, each team” for regular season games.</w:t>
      </w:r>
    </w:p>
    <w:p w14:paraId="36C9EAF7" w14:textId="77777777" w:rsidR="002F3528" w:rsidRDefault="002F3528" w:rsidP="002F3528"/>
    <w:p w14:paraId="1F0022BA" w14:textId="77777777" w:rsidR="002F3528" w:rsidRPr="002F3528" w:rsidRDefault="002F3528" w:rsidP="002F3528"/>
    <w:p w14:paraId="0F66A45A" w14:textId="07F68BC7" w:rsidR="002F3528" w:rsidRDefault="002F3528" w:rsidP="002F3528">
      <w:pPr>
        <w:pStyle w:val="Heading1"/>
      </w:pPr>
      <w:r>
        <w:lastRenderedPageBreak/>
        <w:t>2011</w:t>
      </w:r>
    </w:p>
    <w:p w14:paraId="4BCAD06C" w14:textId="77777777" w:rsidR="002F3528" w:rsidRDefault="002F3528" w:rsidP="002F3528">
      <w:r w:rsidRPr="002F3528">
        <w:t xml:space="preserve">Paragraph 1.1 (page </w:t>
      </w:r>
      <w:proofErr w:type="gramStart"/>
      <w:r w:rsidRPr="002F3528">
        <w:t>7)and</w:t>
      </w:r>
      <w:proofErr w:type="gramEnd"/>
      <w:r w:rsidRPr="002F3528">
        <w:t xml:space="preserve"> Paragraph 5.4 (page 34) - created a “restricted sideline zone” from the goal line out to the </w:t>
      </w:r>
      <w:proofErr w:type="gramStart"/>
      <w:r w:rsidRPr="002F3528">
        <w:t>10 yard</w:t>
      </w:r>
      <w:proofErr w:type="gramEnd"/>
      <w:r w:rsidRPr="002F3528">
        <w:t xml:space="preserve"> line </w:t>
      </w:r>
      <w:proofErr w:type="gramStart"/>
      <w:r w:rsidRPr="002F3528">
        <w:t>-  coaches</w:t>
      </w:r>
      <w:proofErr w:type="gramEnd"/>
      <w:r w:rsidRPr="002F3528">
        <w:t xml:space="preserve">, players, and spectators are not allowed in this area </w:t>
      </w:r>
      <w:proofErr w:type="gramStart"/>
      <w:r w:rsidRPr="002F3528">
        <w:t>during the course of</w:t>
      </w:r>
      <w:proofErr w:type="gramEnd"/>
      <w:r w:rsidRPr="002F3528">
        <w:t xml:space="preserve"> the game. </w:t>
      </w:r>
    </w:p>
    <w:p w14:paraId="310D0798" w14:textId="77777777" w:rsidR="002F3528" w:rsidRDefault="002F3528" w:rsidP="002F3528"/>
    <w:p w14:paraId="1F200515" w14:textId="7A9D722C" w:rsidR="002F3528" w:rsidRDefault="002F3528" w:rsidP="002F3528">
      <w:r w:rsidRPr="002F3528">
        <w:t xml:space="preserve">Paragraph 5.9 (page 38) – modified language to </w:t>
      </w:r>
      <w:proofErr w:type="gramStart"/>
      <w:r w:rsidRPr="002F3528">
        <w:t>the  unsportsmanlike</w:t>
      </w:r>
      <w:proofErr w:type="gramEnd"/>
      <w:r w:rsidRPr="002F3528">
        <w:t xml:space="preserve"> conduct penalties to add an interim step</w:t>
      </w:r>
    </w:p>
    <w:p w14:paraId="43087BBF" w14:textId="6A9BFC68" w:rsidR="002F3528" w:rsidRDefault="002F3528" w:rsidP="002F3528">
      <w:pPr>
        <w:pStyle w:val="Heading1"/>
      </w:pPr>
      <w:r>
        <w:t>2012</w:t>
      </w:r>
    </w:p>
    <w:p w14:paraId="117D11A6" w14:textId="2B738D27" w:rsidR="002F3528" w:rsidRDefault="002F3528" w:rsidP="002F3528">
      <w:r>
        <w:t>No Changes</w:t>
      </w:r>
    </w:p>
    <w:p w14:paraId="17FA5AB4" w14:textId="22B526D1" w:rsidR="002F3528" w:rsidRDefault="002F3528" w:rsidP="002F3528">
      <w:pPr>
        <w:pStyle w:val="Heading1"/>
      </w:pPr>
      <w:r>
        <w:t>2013</w:t>
      </w:r>
    </w:p>
    <w:p w14:paraId="311A69A8" w14:textId="28517573" w:rsidR="002F3528" w:rsidRDefault="002F3528" w:rsidP="002F3528">
      <w:r w:rsidRPr="002F3528">
        <w:t xml:space="preserve">Added language on Page 20 and in the Table on page 22 to </w:t>
      </w:r>
      <w:proofErr w:type="gramStart"/>
      <w:r w:rsidRPr="002F3528">
        <w:t>insure</w:t>
      </w:r>
      <w:proofErr w:type="gramEnd"/>
      <w:r w:rsidRPr="002F3528">
        <w:t xml:space="preserve"> clarity of rules interpretation for blocking on a screen (or shovel) pass behind the line of scrimmage.</w:t>
      </w:r>
    </w:p>
    <w:p w14:paraId="0921CF94" w14:textId="008C13D6" w:rsidR="002F3528" w:rsidRDefault="002F3528" w:rsidP="002F3528">
      <w:pPr>
        <w:pStyle w:val="Heading1"/>
      </w:pPr>
      <w:r>
        <w:t>2014</w:t>
      </w:r>
    </w:p>
    <w:p w14:paraId="5ACFD692" w14:textId="77777777" w:rsidR="002F3528" w:rsidRDefault="002F3528" w:rsidP="002F3528">
      <w:r w:rsidRPr="002F3528">
        <w:t xml:space="preserve">Incorporated language to clarify rules interpretation on engagement of the center (new rule listed in Paragraph 3.3 on page 24) and modified the language for roughing the passer (must be a “clean” block” on a ball being thrown) on Page 25 in that same paragraph. </w:t>
      </w:r>
    </w:p>
    <w:p w14:paraId="0938A306" w14:textId="77777777" w:rsidR="002F3528" w:rsidRDefault="002F3528" w:rsidP="002F3528"/>
    <w:p w14:paraId="1D25DF85" w14:textId="2806AD35" w:rsidR="002F3528" w:rsidRDefault="002F3528" w:rsidP="002F3528">
      <w:r w:rsidRPr="002F3528">
        <w:t xml:space="preserve">Added more clarity and modified the rules in Paragraph 5.1 (page 33) for deployment of players and eligible receivers in a </w:t>
      </w:r>
      <w:proofErr w:type="gramStart"/>
      <w:r w:rsidRPr="002F3528">
        <w:t>seven on seven</w:t>
      </w:r>
      <w:proofErr w:type="gramEnd"/>
      <w:r w:rsidRPr="002F3528">
        <w:t xml:space="preserve"> game.</w:t>
      </w:r>
    </w:p>
    <w:p w14:paraId="3EB13F05" w14:textId="5B7EC13D" w:rsidR="002F3528" w:rsidRDefault="002F3528" w:rsidP="002F3528">
      <w:pPr>
        <w:pStyle w:val="Heading1"/>
      </w:pPr>
      <w:r>
        <w:t>2014 (mid-season) and pre-season 2015 clarification</w:t>
      </w:r>
    </w:p>
    <w:p w14:paraId="18AD84BC" w14:textId="77777777" w:rsidR="002F3528" w:rsidRDefault="002F3528" w:rsidP="002F3528">
      <w:r w:rsidRPr="002F3528">
        <w:t xml:space="preserve">Added language and corrected a “cut &amp; paste” error that was causing some confusion on intentional grounding and a pass thrown by QB after crossing the line of scrimmage (page 20 and table on page 22). </w:t>
      </w:r>
    </w:p>
    <w:p w14:paraId="018BDC12" w14:textId="77777777" w:rsidR="002F3528" w:rsidRDefault="002F3528" w:rsidP="002F3528"/>
    <w:p w14:paraId="546FBBDA" w14:textId="2EFEB208" w:rsidR="002F3528" w:rsidRDefault="002F3528" w:rsidP="002F3528">
      <w:r w:rsidRPr="002F3528">
        <w:t xml:space="preserve">Same for confusion regarding eligible receivers in a shorthanded game </w:t>
      </w:r>
      <w:proofErr w:type="gramStart"/>
      <w:r w:rsidRPr="002F3528">
        <w:t>( 7</w:t>
      </w:r>
      <w:proofErr w:type="gramEnd"/>
      <w:r w:rsidRPr="002F3528">
        <w:t xml:space="preserve"> on 7)- page 8 and 34.</w:t>
      </w:r>
    </w:p>
    <w:p w14:paraId="23A1A7F5" w14:textId="668289AC" w:rsidR="002F3528" w:rsidRDefault="002F3528" w:rsidP="002F3528">
      <w:pPr>
        <w:pStyle w:val="Heading1"/>
      </w:pPr>
      <w:r>
        <w:t>2025</w:t>
      </w:r>
    </w:p>
    <w:p w14:paraId="49B16E3A" w14:textId="590982DA" w:rsidR="002F3528" w:rsidRDefault="002F3528" w:rsidP="002F3528">
      <w:r>
        <w:t>Rules re-</w:t>
      </w:r>
      <w:proofErr w:type="gramStart"/>
      <w:r>
        <w:t>layout</w:t>
      </w:r>
      <w:proofErr w:type="gramEnd"/>
      <w:r>
        <w:t xml:space="preserve"> and redesign.</w:t>
      </w:r>
    </w:p>
    <w:p w14:paraId="6C110ACD" w14:textId="3E03CD01" w:rsidR="00F97F82" w:rsidRDefault="00D5724D" w:rsidP="002F3528">
      <w:r>
        <w:t>Bantam field extended to35 yd wide</w:t>
      </w:r>
    </w:p>
    <w:p w14:paraId="763E4D41" w14:textId="1259211A" w:rsidR="00F97F82" w:rsidRDefault="00F97F82" w:rsidP="002F3528">
      <w:r>
        <w:t xml:space="preserve">Remove restrictions on receiver style gloves. </w:t>
      </w:r>
    </w:p>
    <w:p w14:paraId="334EEADF" w14:textId="48BDA143" w:rsidR="0046475B" w:rsidRDefault="00C71FA2" w:rsidP="002F3528">
      <w:r>
        <w:lastRenderedPageBreak/>
        <w:t xml:space="preserve">Changed language on </w:t>
      </w:r>
      <w:proofErr w:type="spellStart"/>
      <w:r>
        <w:t>short handed</w:t>
      </w:r>
      <w:proofErr w:type="spellEnd"/>
      <w:r>
        <w:t xml:space="preserve"> games</w:t>
      </w:r>
    </w:p>
    <w:p w14:paraId="13AF56E1" w14:textId="62633A0E" w:rsidR="00C71FA2" w:rsidRDefault="00C71FA2" w:rsidP="002F3528">
      <w:r>
        <w:t>Clar</w:t>
      </w:r>
      <w:r w:rsidR="00D640FD">
        <w:t>ified a language around snapping the ball</w:t>
      </w:r>
    </w:p>
    <w:p w14:paraId="731BDD8A" w14:textId="69518F27" w:rsidR="00D640FD" w:rsidRDefault="00D640FD" w:rsidP="002F3528">
      <w:r>
        <w:t>Clarified blocking</w:t>
      </w:r>
    </w:p>
    <w:p w14:paraId="6DA56D2C" w14:textId="3C39AE09" w:rsidR="00460EC4" w:rsidRDefault="00460EC4" w:rsidP="002F3528">
      <w:r>
        <w:t>Clarified neutral zone in goal line situations</w:t>
      </w:r>
    </w:p>
    <w:p w14:paraId="75FD64C1" w14:textId="21181E0E" w:rsidR="00410EFE" w:rsidRDefault="00410EFE" w:rsidP="002F3528">
      <w:r>
        <w:t>Clarified spotting of the ball</w:t>
      </w:r>
    </w:p>
    <w:p w14:paraId="50611325" w14:textId="016CDF7C" w:rsidR="00410EFE" w:rsidRDefault="00410EFE" w:rsidP="002F3528">
      <w:r>
        <w:t>Clarified fumbles</w:t>
      </w:r>
      <w:r w:rsidR="00973ED2">
        <w:t xml:space="preserve"> &amp; laterals</w:t>
      </w:r>
    </w:p>
    <w:p w14:paraId="7C5A2DAF" w14:textId="65080E4F" w:rsidR="00973ED2" w:rsidRDefault="00973ED2" w:rsidP="002F3528">
      <w:r>
        <w:t>Clarified outcome of penalty when flag guarding is involved</w:t>
      </w:r>
    </w:p>
    <w:p w14:paraId="79C32ADF" w14:textId="69BF6731" w:rsidR="003A5929" w:rsidRDefault="003A5929" w:rsidP="002F3528">
      <w:r>
        <w:t>Changed overtime rules</w:t>
      </w:r>
    </w:p>
    <w:p w14:paraId="4946DB84" w14:textId="23C4E5EC" w:rsidR="00460EC4" w:rsidRDefault="00460EC4" w:rsidP="002F3528">
      <w:r>
        <w:t>Clarified coin toss</w:t>
      </w:r>
    </w:p>
    <w:p w14:paraId="56BCB877" w14:textId="77777777" w:rsidR="00973ED2" w:rsidRDefault="00973ED2" w:rsidP="002F3528"/>
    <w:p w14:paraId="3518B00C" w14:textId="77777777" w:rsidR="002F3528" w:rsidRPr="002F3528" w:rsidRDefault="002F3528" w:rsidP="002F3528"/>
    <w:p w14:paraId="0705D487" w14:textId="77777777" w:rsidR="002F3528" w:rsidRPr="002F3528" w:rsidRDefault="002F3528" w:rsidP="002F3528"/>
    <w:p w14:paraId="7D07CB03" w14:textId="77777777" w:rsidR="002F3528" w:rsidRPr="002F3528" w:rsidRDefault="002F3528" w:rsidP="002F3528"/>
    <w:p w14:paraId="5E12F2D2" w14:textId="77777777" w:rsidR="002F3528" w:rsidRPr="002F3528" w:rsidRDefault="002F3528" w:rsidP="002F3528"/>
    <w:p w14:paraId="1946A467" w14:textId="77777777" w:rsidR="002F3528" w:rsidRPr="002F3528" w:rsidRDefault="002F3528" w:rsidP="002F3528"/>
    <w:sectPr w:rsidR="002F3528" w:rsidRPr="002F3528">
      <w:footerReference w:type="default" r:id="rId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A2BE5" w14:textId="77777777" w:rsidR="00E95F87" w:rsidRDefault="00E95F87">
      <w:pPr>
        <w:spacing w:before="0" w:after="0" w:line="240" w:lineRule="auto"/>
      </w:pPr>
      <w:r>
        <w:separator/>
      </w:r>
    </w:p>
    <w:p w14:paraId="6752E1C8" w14:textId="77777777" w:rsidR="00E95F87" w:rsidRDefault="00E95F87"/>
    <w:p w14:paraId="71AC9D94" w14:textId="77777777" w:rsidR="00E95F87" w:rsidRDefault="00E95F87"/>
  </w:endnote>
  <w:endnote w:type="continuationSeparator" w:id="0">
    <w:p w14:paraId="02B8BE30" w14:textId="77777777" w:rsidR="00E95F87" w:rsidRDefault="00E95F87">
      <w:pPr>
        <w:spacing w:before="0" w:after="0" w:line="240" w:lineRule="auto"/>
      </w:pPr>
      <w:r>
        <w:continuationSeparator/>
      </w:r>
    </w:p>
    <w:p w14:paraId="0464E6F2" w14:textId="77777777" w:rsidR="00E95F87" w:rsidRDefault="00E95F87"/>
    <w:p w14:paraId="2DFC8B8A" w14:textId="77777777" w:rsidR="00E95F87" w:rsidRDefault="00E95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FE1C5" w14:textId="3871DC7F" w:rsidR="005D240C" w:rsidRDefault="007A3F2E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6120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72365" w14:textId="77777777" w:rsidR="00E95F87" w:rsidRDefault="00E95F87">
      <w:pPr>
        <w:spacing w:before="0" w:after="0" w:line="240" w:lineRule="auto"/>
      </w:pPr>
      <w:r>
        <w:separator/>
      </w:r>
    </w:p>
    <w:p w14:paraId="40B58261" w14:textId="77777777" w:rsidR="00E95F87" w:rsidRDefault="00E95F87"/>
    <w:p w14:paraId="0E578EEB" w14:textId="77777777" w:rsidR="00E95F87" w:rsidRDefault="00E95F87"/>
  </w:footnote>
  <w:footnote w:type="continuationSeparator" w:id="0">
    <w:p w14:paraId="7386783D" w14:textId="77777777" w:rsidR="00E95F87" w:rsidRDefault="00E95F87">
      <w:pPr>
        <w:spacing w:before="0" w:after="0" w:line="240" w:lineRule="auto"/>
      </w:pPr>
      <w:r>
        <w:continuationSeparator/>
      </w:r>
    </w:p>
    <w:p w14:paraId="08BFB6AC" w14:textId="77777777" w:rsidR="00E95F87" w:rsidRDefault="00E95F87"/>
    <w:p w14:paraId="3DCF975C" w14:textId="77777777" w:rsidR="00E95F87" w:rsidRDefault="00E95F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F2333"/>
    <w:multiLevelType w:val="hybridMultilevel"/>
    <w:tmpl w:val="10CA8236"/>
    <w:lvl w:ilvl="0" w:tplc="CAB4F20E">
      <w:numFmt w:val="bullet"/>
      <w:lvlText w:val="-"/>
      <w:lvlJc w:val="left"/>
      <w:pPr>
        <w:ind w:left="720" w:hanging="360"/>
      </w:pPr>
      <w:rPr>
        <w:rFonts w:ascii="Trebuchet MS" w:eastAsiaTheme="majorEastAsia" w:hAnsi="Trebuchet MS" w:cstheme="majorBidi" w:hint="default"/>
        <w:color w:val="322D27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92EA6"/>
    <w:multiLevelType w:val="hybridMultilevel"/>
    <w:tmpl w:val="425E79E8"/>
    <w:lvl w:ilvl="0" w:tplc="F000C4A4">
      <w:numFmt w:val="bullet"/>
      <w:lvlText w:val="-"/>
      <w:lvlJc w:val="left"/>
      <w:pPr>
        <w:ind w:left="720" w:hanging="360"/>
      </w:pPr>
      <w:rPr>
        <w:rFonts w:ascii="Trebuchet MS" w:eastAsiaTheme="majorEastAsia" w:hAnsi="Trebuchet M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65A4F"/>
    <w:multiLevelType w:val="hybridMultilevel"/>
    <w:tmpl w:val="5E52E0CE"/>
    <w:lvl w:ilvl="0" w:tplc="8B500692">
      <w:numFmt w:val="bullet"/>
      <w:lvlText w:val="-"/>
      <w:lvlJc w:val="left"/>
      <w:pPr>
        <w:ind w:left="720" w:hanging="360"/>
      </w:pPr>
      <w:rPr>
        <w:rFonts w:ascii="Trebuchet MS" w:eastAsiaTheme="majorEastAsia" w:hAnsi="Trebuchet M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1841CD0"/>
    <w:multiLevelType w:val="hybridMultilevel"/>
    <w:tmpl w:val="A3E04F60"/>
    <w:lvl w:ilvl="0" w:tplc="3B3CCC64">
      <w:numFmt w:val="bullet"/>
      <w:lvlText w:val="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64962"/>
    <w:multiLevelType w:val="hybridMultilevel"/>
    <w:tmpl w:val="31363E00"/>
    <w:lvl w:ilvl="0" w:tplc="E3689590">
      <w:numFmt w:val="bullet"/>
      <w:lvlText w:val="-"/>
      <w:lvlJc w:val="left"/>
      <w:pPr>
        <w:ind w:left="720" w:hanging="360"/>
      </w:pPr>
      <w:rPr>
        <w:rFonts w:ascii="Trebuchet MS" w:eastAsiaTheme="majorEastAsia" w:hAnsi="Trebuchet M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BC23B5"/>
    <w:multiLevelType w:val="hybridMultilevel"/>
    <w:tmpl w:val="B240F400"/>
    <w:lvl w:ilvl="0" w:tplc="723CCFA0">
      <w:numFmt w:val="bullet"/>
      <w:lvlText w:val="-"/>
      <w:lvlJc w:val="left"/>
      <w:pPr>
        <w:ind w:left="720" w:hanging="360"/>
      </w:pPr>
      <w:rPr>
        <w:rFonts w:ascii="Trebuchet MS" w:eastAsiaTheme="majorEastAsia" w:hAnsi="Trebuchet MS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79572904">
    <w:abstractNumId w:val="16"/>
  </w:num>
  <w:num w:numId="2" w16cid:durableId="1498113250">
    <w:abstractNumId w:val="13"/>
  </w:num>
  <w:num w:numId="3" w16cid:durableId="782460631">
    <w:abstractNumId w:val="18"/>
  </w:num>
  <w:num w:numId="4" w16cid:durableId="1280838157">
    <w:abstractNumId w:val="9"/>
  </w:num>
  <w:num w:numId="5" w16cid:durableId="2037540626">
    <w:abstractNumId w:val="7"/>
  </w:num>
  <w:num w:numId="6" w16cid:durableId="702292475">
    <w:abstractNumId w:val="6"/>
  </w:num>
  <w:num w:numId="7" w16cid:durableId="609240214">
    <w:abstractNumId w:val="5"/>
  </w:num>
  <w:num w:numId="8" w16cid:durableId="1253314941">
    <w:abstractNumId w:val="4"/>
  </w:num>
  <w:num w:numId="9" w16cid:durableId="1651907422">
    <w:abstractNumId w:val="8"/>
  </w:num>
  <w:num w:numId="10" w16cid:durableId="526022993">
    <w:abstractNumId w:val="3"/>
  </w:num>
  <w:num w:numId="11" w16cid:durableId="232546874">
    <w:abstractNumId w:val="2"/>
  </w:num>
  <w:num w:numId="12" w16cid:durableId="1374766969">
    <w:abstractNumId w:val="1"/>
  </w:num>
  <w:num w:numId="13" w16cid:durableId="285502727">
    <w:abstractNumId w:val="0"/>
  </w:num>
  <w:num w:numId="14" w16cid:durableId="380524651">
    <w:abstractNumId w:val="17"/>
  </w:num>
  <w:num w:numId="15" w16cid:durableId="1085417275">
    <w:abstractNumId w:val="12"/>
  </w:num>
  <w:num w:numId="16" w16cid:durableId="1938639188">
    <w:abstractNumId w:val="15"/>
  </w:num>
  <w:num w:numId="17" w16cid:durableId="272056644">
    <w:abstractNumId w:val="10"/>
  </w:num>
  <w:num w:numId="18" w16cid:durableId="1770345290">
    <w:abstractNumId w:val="11"/>
  </w:num>
  <w:num w:numId="19" w16cid:durableId="10329937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C"/>
    <w:rsid w:val="00024744"/>
    <w:rsid w:val="00051BAC"/>
    <w:rsid w:val="000C69BD"/>
    <w:rsid w:val="000E1945"/>
    <w:rsid w:val="001145FC"/>
    <w:rsid w:val="001272F4"/>
    <w:rsid w:val="00156B4C"/>
    <w:rsid w:val="00162B9E"/>
    <w:rsid w:val="001842FC"/>
    <w:rsid w:val="001920E8"/>
    <w:rsid w:val="001A0163"/>
    <w:rsid w:val="001D6EB2"/>
    <w:rsid w:val="00204422"/>
    <w:rsid w:val="002A175B"/>
    <w:rsid w:val="002A480E"/>
    <w:rsid w:val="002E2169"/>
    <w:rsid w:val="002F3528"/>
    <w:rsid w:val="00317BAA"/>
    <w:rsid w:val="003A5929"/>
    <w:rsid w:val="003A6FF0"/>
    <w:rsid w:val="003A7FCB"/>
    <w:rsid w:val="003C01BE"/>
    <w:rsid w:val="003C5B98"/>
    <w:rsid w:val="00410EFE"/>
    <w:rsid w:val="004329A3"/>
    <w:rsid w:val="00460EC4"/>
    <w:rsid w:val="0046475B"/>
    <w:rsid w:val="004654BA"/>
    <w:rsid w:val="00493B92"/>
    <w:rsid w:val="00493D20"/>
    <w:rsid w:val="004B73AA"/>
    <w:rsid w:val="004D25D8"/>
    <w:rsid w:val="004F14C6"/>
    <w:rsid w:val="00502BA8"/>
    <w:rsid w:val="005107EF"/>
    <w:rsid w:val="00534C86"/>
    <w:rsid w:val="00545F43"/>
    <w:rsid w:val="005912DB"/>
    <w:rsid w:val="005A0843"/>
    <w:rsid w:val="005D240C"/>
    <w:rsid w:val="00610775"/>
    <w:rsid w:val="00612135"/>
    <w:rsid w:val="0061286F"/>
    <w:rsid w:val="00656F0F"/>
    <w:rsid w:val="00672DFC"/>
    <w:rsid w:val="0069767E"/>
    <w:rsid w:val="006A0212"/>
    <w:rsid w:val="00721235"/>
    <w:rsid w:val="007315A2"/>
    <w:rsid w:val="00742F5B"/>
    <w:rsid w:val="00794229"/>
    <w:rsid w:val="007A3F2E"/>
    <w:rsid w:val="007D3750"/>
    <w:rsid w:val="007F6D03"/>
    <w:rsid w:val="00835E9B"/>
    <w:rsid w:val="00875A8E"/>
    <w:rsid w:val="008822A5"/>
    <w:rsid w:val="008A3E58"/>
    <w:rsid w:val="008B2500"/>
    <w:rsid w:val="008F2114"/>
    <w:rsid w:val="009150D2"/>
    <w:rsid w:val="00965228"/>
    <w:rsid w:val="00973ED2"/>
    <w:rsid w:val="009850B3"/>
    <w:rsid w:val="009D0962"/>
    <w:rsid w:val="009E354F"/>
    <w:rsid w:val="00A07118"/>
    <w:rsid w:val="00A42A62"/>
    <w:rsid w:val="00A47A89"/>
    <w:rsid w:val="00A73595"/>
    <w:rsid w:val="00AF6FBA"/>
    <w:rsid w:val="00B26166"/>
    <w:rsid w:val="00B52C34"/>
    <w:rsid w:val="00B611B3"/>
    <w:rsid w:val="00C12921"/>
    <w:rsid w:val="00C6120F"/>
    <w:rsid w:val="00C71FA2"/>
    <w:rsid w:val="00C720C5"/>
    <w:rsid w:val="00C74199"/>
    <w:rsid w:val="00C81C80"/>
    <w:rsid w:val="00C93205"/>
    <w:rsid w:val="00CE2660"/>
    <w:rsid w:val="00CF32C8"/>
    <w:rsid w:val="00D121CF"/>
    <w:rsid w:val="00D5724D"/>
    <w:rsid w:val="00D604F1"/>
    <w:rsid w:val="00D640FD"/>
    <w:rsid w:val="00D71519"/>
    <w:rsid w:val="00DC7038"/>
    <w:rsid w:val="00E1350C"/>
    <w:rsid w:val="00E532B2"/>
    <w:rsid w:val="00E8180B"/>
    <w:rsid w:val="00E853C3"/>
    <w:rsid w:val="00E95F87"/>
    <w:rsid w:val="00E972DD"/>
    <w:rsid w:val="00EC5A06"/>
    <w:rsid w:val="00ED0DAB"/>
    <w:rsid w:val="00F744FB"/>
    <w:rsid w:val="00F818CC"/>
    <w:rsid w:val="00F971FE"/>
    <w:rsid w:val="00F9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4FA3E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31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Stewart</dc:creator>
  <cp:keywords/>
  <dc:description/>
  <cp:lastModifiedBy>Jeremy Stewart</cp:lastModifiedBy>
  <cp:revision>12</cp:revision>
  <cp:lastPrinted>2025-03-05T19:06:00Z</cp:lastPrinted>
  <dcterms:created xsi:type="dcterms:W3CDTF">2025-04-30T22:31:00Z</dcterms:created>
  <dcterms:modified xsi:type="dcterms:W3CDTF">2025-08-21T19:46:00Z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